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ARZOLA ALDACO, MARTHA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POSGRADOS E INVESTIGACIÓN,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12024129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CIRCUITO DE PORTA VITTA ORIENTE,327,CONDOMINIO PORTA VITTA,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AOAM6206233W5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AOAM620623MASRLR04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ARZOLA ALDACO, MARTHA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EN TERAPIA INTENSIVA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INTERNA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$441.00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2024-08-03 - 2024-08-17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