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PEREZ, ANA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 KINESIOLOGÍA, GASTRONOMÍA Y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DE LA CRUZ #301 COL. LA PURISIMA, ESQ. CALLE PRIMO VERDAD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AAPA810512MU4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AAPA810512MCLLRN04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PEREZ, ANA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USO DE TICS Y MANEJO DE OFFICE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RESTAURANTERA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RESTAURANTERA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USO DE TICS Y MANEJO DE OFFICE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RESTAURANTERA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USO DE TICS Y MANEJO DE OFFICE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PÚBLICO - 2020 - ESCOLARIZADA - CUATRIMESTRAL - 2735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EL DISEÑO Y DESARROLLO DE SOFTWARE - 2020 - ESCOLARIZADA - CUATRIMESTRAL - 2739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CALIDAD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USO DE TICS Y MANEJO DE OFFICE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 - 2020 - ESCOLARIZADA - CUATRIMESTRAL - 2738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