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ALFEREZ CRUZ,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SEMESTRAL,MENSUAL,DIPLOMADO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0026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CASO 112 VILLAS DE LA UNIVERSIDAD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AECC731022PS5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AECC731022MDFLRR05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ALFEREZ CRUZ,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DIP2024-14 SIGNOS PARA LA DETECCIÓN DE VIOLENCIA DENTRO DEL AULA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SIGNOS PARA LA DETECCIÓN DE VIOLENCIA DENTRO DEL AULA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2024-02-28 - 2024-02-29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DIP2024-14 SIGNOS PARA LA DETECCIÓN DE VIOLENCIA DENTRO DEL AULA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SIGNOS PARA LA DETECCIÓN DE VIOLENCIA DENTRO DEL AULA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2024-02-28 - 2024-02-29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DIP2024-05 DIPLOMADO EN DIRECCIÓN DE EMPRESAS FAMILIARES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DE LA COMUNICACIÓN DESDE UNA PERSPECTIVA  ÉTICA CORPORATIVA Y RESPONSABILIDAD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2024-02-17 - 2024-02-24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