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BOLAÑOS, FERNANDO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RODRIGUEZ BOLAÑOS, FERNANDO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1993-06-27</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ROBF930627HOCDLR00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ROBF930627PI4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POZO DEL SOL 115, POZO BRAVO,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3375@ucuauhtemoc.edu.mx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