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RIOS GODINEZ,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RIOS GODINEZ,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1986-09-12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RIGA860912HDFSDL00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RIGA8609124CA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MONTES APALACHES #221, BOSQUES,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4010@ucuauhtemoc.edu.mx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DERECHO MERCANTIL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DERECHO MERCANTIL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MERCANTIL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MERCANTIL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MERCANTIL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DERECHO MERCANTIL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DERECHO MERCANTIL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DERECHO MERCANTIL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