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JAUREGUI, JOSE IDDAR.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JAUREGUI, JOSE IDDAR.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1978-04-21</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MUJI780421HJCXRD06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MUJI7804211J1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TROJE SAN IGNACIO 125, TROJE SAN CRISTOBAL, JESUS MARIA,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1570@ucuauhtemoc.edu.mx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INTERNACIONAL PRIVADO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INTERNACIONAL PRIVADO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2022-05-12 - 2022-08-05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INTERNACIONAL PRIVADO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INTERNACIONAL PRIVADO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2022-05-12 - 2022-08-05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ARGUMENTACIÓN JURÍDICA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EL JUICIO 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