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MARTINEZ RAMIREZ, MIGUEL ANGEL.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MARTINEZ RAMIREZ, MIGUEL ANGEL.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1968-08-03</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MARM680803HASRMG07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MARM680803IL2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PANFILO NATERA 624, SAN JOSE DE POZO BRAVO,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4161@ucuauhtemoc.edu.mx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PATOLOGÍAS EN GINECO-OBSTETRICIA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2022-06-04 - 2022-06-18</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PATOLOGÍAS EN GINECO-OBSTETRICIA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2022-05-14 - 2022-05-28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