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AGUASCALIENTES,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LOZANO DELGADO EDUARDO ISRAEL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calle Adolfo López Mateos #102, Col. El Llano, CP: 20908, Jesús María, Aguascalientes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COMUNITY MANAGER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LAUREL 212 FCN CIRCUNVALACION NORTE</w:t>
      </w:r>
      <w:r w:rsidR="003F6EA4">
        <w:rPr>
          <w:rFonts w:ascii="Century Gothic" w:hAnsi="Century Gothic"/>
          <w:b/>
          <w:color w:val="1F497D" w:themeColor="text2"/>
          <w:sz w:val="22"/>
          <w:szCs w:val="22"/>
        </w:rPr>
        <w:t xml:space="preserve"> AGUASCALIENTES</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20020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LODE960801HASZLD05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LODE960801IA5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COMUNITY MANAGER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15 DE NOVIEMBRE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13 DE DICIEMBRE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COMUNITY MANAGER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15 DE NOVIEMBRE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Aguascalientes,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JAIME RODRÍGUEZ MARTÍNEZ</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LOZANO DELGADO EDUARDO ISRAEL.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