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LARA PIÑON, JENNIFER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LARA PIÑON, JENNIFER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1993-12-16</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LAPJ931216MJCRXN02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LAPJ9312168Q0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VENECIA #102 COLONIA HEROES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4799@ucuauhtemoc.edu.mx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PATOLOGÍA DEL ADULTO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PATOLOGÍA DEL ADULTO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PATOLOGÍA DEL ADULTO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PATOLOGÍA DEL ADULTO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ENFERMERÍA, MEDICINA Y 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