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HERNANDEZ GARCIA, HIMAL.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HERNANDEZ GARCIA, HIMAL.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1982-03-22</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HEGH820322HDFRRM01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HEGH820322KH4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RANCHO VIEJO 118 FRACC. OJOCALIENTE INEGI 2,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2112@ucuauhtemoc.edu.mx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DISEÑO DE LOGOTIPO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w:t>
            </w:r>
          </w:p>
        </w:tc>
        <w:tc>
          <w:tcPr>
            <w:tcW w:w="1" w:type="dxa"/>
          </w:tcPr>
          <w:p>
            <w:pPr>
              <w:jc w:val="left"/>
            </w:pPr>
            <w:r>
              <w:rPr>
                <w:rFonts w:ascii="Arial" w:hAnsi="Arial" w:eastAsia="Arial" w:cs="Arial"/>
                <w:sz w:val="16"/>
                <w:szCs w:val="16"/>
                <w:b w:val="0"/>
                <w:bCs w:val="0"/>
              </w:rPr>
              <w:t xml:space="preserve">GRÁFICA DEL ENTORNO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DISEÑO DE LOGOTIPO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