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REYNOSO, RUBEN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REYNOSO, RUBEN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1973-03-02</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GORR730302HASNYB03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GORR730302RC3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DEL MOLINO # 526 COTO SAN NICOLAS,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3014@ucuauhtemoc.edu.mx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ANÁLISIS DE COSTOS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PRÁCTICA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PRÁCTICA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ANALISIS DE COSTOS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ANALISIS DE COSTOS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2022-08-08 - 2022-08-09</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SEMINARIO DE ESTADOS FINANCIEROS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ANÁLISIS DE COSTOS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ANÁLISIS DE COSTOS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ANALISIS DE COSTOS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SEMINARIO DE ESTADOS FINANCIEROS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SEMINARIO DE ESTADOS FINANCIEROS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PRÁCTICA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PRÁCTICA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ANALISIS DE COSTOS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ANALISIS DE COSTOS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