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CASTAÑEDA GONZALEZ, JANETH.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CASTAÑEDA GONZALEZ, JANETH.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1987-10-20</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CAGJ871020MJCSNN01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CAGJ871020DP2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LA PAZ 102 INT 99,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4859@ucuauhtemoc.edu.mx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PRESCRIPCIÓN DEL EJERCICIO FÍSICO Y PLANIFICACIÓN DE LOS ALIMENTOS EN ETAPAS DE VIDA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2022-06-15 - 2022-06-22</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EVALUACIÓN DE LA COMPOSICIÓN CORPORAL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2022-06-28 - 2022-07-19</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PRESCRIPCIÓN DEL EJERCICIO FÍSICO Y PLANIFICACIÓN DE LOS ALIMENTOS EN ETAPAS DE VIDA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2022-06-15 - 2022-06-22</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EVALUACIÓN DE LA COMPOSICIÓN CORPORAL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2022-06-28 - 2022-07-19</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EVALUACIÓN DE LA COMPOSICIÓN CORPORAL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PRESCRIPCIÓN DEL EJERCICIO FÍSICO Y PLANIFICACIÓN DE LOS ALIMENTOS EN ETAPAS DE VIDA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$540.00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2022-06-18 - 2022-06-18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CASTAÑEDA GONZALEZ, JANETH.</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